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i/>
          <w:i/>
          <w:sz w:val="52"/>
          <w:szCs w:val="52"/>
        </w:rPr>
      </w:pPr>
      <w:r>
        <w:rPr>
          <w:rFonts w:ascii="Times New Roman" w:hAnsi="Times New Roman"/>
          <w:i/>
          <w:sz w:val="52"/>
          <w:szCs w:val="52"/>
          <w:lang w:val="en-US"/>
        </w:rPr>
        <w:t xml:space="preserve">Софийски университет “Св.Климент Охридски”        </w:t>
      </w:r>
    </w:p>
    <w:p>
      <w:pPr>
        <w:pStyle w:val="Normal"/>
        <w:jc w:val="center"/>
        <w:rPr>
          <w:rFonts w:ascii="Times New Roman" w:hAnsi="Times New Roman"/>
          <w:i/>
          <w:i/>
          <w:sz w:val="52"/>
          <w:szCs w:val="52"/>
          <w:lang w:val="en-US"/>
        </w:rPr>
      </w:pPr>
      <w:r>
        <w:rPr>
          <w:rFonts w:ascii="Times New Roman" w:hAnsi="Times New Roman"/>
          <w:i/>
          <w:sz w:val="44"/>
          <w:szCs w:val="44"/>
        </w:rPr>
        <w:t>Геолого-географски факултет</w:t>
      </w:r>
    </w:p>
    <w:p>
      <w:pPr>
        <w:pStyle w:val="Normal"/>
        <w:jc w:val="center"/>
        <w:rPr/>
      </w:pPr>
      <w:r>
        <w:rPr>
          <w:b/>
          <w:i/>
          <w:sz w:val="40"/>
          <w:szCs w:val="40"/>
          <w:lang w:val="en-US"/>
        </w:rPr>
        <w:t xml:space="preserve">  </w:t>
      </w:r>
    </w:p>
    <w:p>
      <w:pPr>
        <w:pStyle w:val="Normal"/>
        <w:jc w:val="center"/>
        <w:rPr>
          <w:b/>
          <w:b/>
          <w:i/>
          <w:i/>
          <w:sz w:val="40"/>
          <w:szCs w:val="40"/>
          <w:lang w:val="en-US"/>
        </w:rPr>
      </w:pPr>
      <w:r>
        <w:rPr>
          <w:b/>
          <w:i/>
          <w:sz w:val="40"/>
          <w:szCs w:val="40"/>
          <w:lang w:val="en-US"/>
        </w:rPr>
      </w:r>
    </w:p>
    <w:p>
      <w:pPr>
        <w:pStyle w:val="Normal"/>
        <w:spacing w:before="0" w:after="0"/>
        <w:jc w:val="center"/>
        <w:rPr>
          <w:rFonts w:ascii="Times New Roman" w:hAnsi="Times New Roman"/>
          <w:sz w:val="72"/>
          <w:szCs w:val="72"/>
        </w:rPr>
      </w:pPr>
      <w:r>
        <w:rPr>
          <w:rFonts w:ascii="Times New Roman" w:hAnsi="Times New Roman"/>
          <w:sz w:val="72"/>
          <w:szCs w:val="72"/>
        </w:rPr>
        <w:t xml:space="preserve">Курсова работа </w:t>
      </w:r>
    </w:p>
    <w:p>
      <w:pPr>
        <w:pStyle w:val="Normal"/>
        <w:spacing w:before="0" w:after="0"/>
        <w:jc w:val="center"/>
        <w:rPr>
          <w:rFonts w:ascii="Times New Roman" w:hAnsi="Times New Roman"/>
          <w:sz w:val="40"/>
          <w:szCs w:val="40"/>
        </w:rPr>
      </w:pPr>
      <w:r>
        <w:rPr>
          <w:rFonts w:ascii="Times New Roman" w:hAnsi="Times New Roman"/>
          <w:sz w:val="40"/>
          <w:szCs w:val="40"/>
        </w:rPr>
        <w:t xml:space="preserve">по </w:t>
      </w:r>
    </w:p>
    <w:p>
      <w:pPr>
        <w:pStyle w:val="Normal"/>
        <w:jc w:val="center"/>
        <w:rPr>
          <w:rFonts w:ascii="Times New Roman" w:hAnsi="Times New Roman"/>
          <w:sz w:val="40"/>
          <w:szCs w:val="40"/>
        </w:rPr>
      </w:pPr>
      <w:r>
        <w:rPr>
          <w:rFonts w:ascii="Times New Roman" w:hAnsi="Times New Roman"/>
          <w:sz w:val="40"/>
          <w:szCs w:val="40"/>
        </w:rPr>
        <w:t>Природни и геоложки рискове</w:t>
      </w:r>
    </w:p>
    <w:p>
      <w:pPr>
        <w:pStyle w:val="Normal"/>
        <w:jc w:val="center"/>
        <w:rPr>
          <w:rFonts w:ascii="Times New Roman" w:hAnsi="Times New Roman"/>
          <w:sz w:val="40"/>
          <w:szCs w:val="40"/>
        </w:rPr>
      </w:pPr>
      <w:r>
        <w:rPr>
          <w:rFonts w:ascii="Times New Roman" w:hAnsi="Times New Roman"/>
          <w:sz w:val="40"/>
          <w:szCs w:val="40"/>
        </w:rPr>
        <w:t>на  тема:</w:t>
      </w:r>
    </w:p>
    <w:p>
      <w:pPr>
        <w:pStyle w:val="Normal"/>
        <w:jc w:val="center"/>
        <w:rPr>
          <w:rFonts w:ascii="Times New Roman" w:hAnsi="Times New Roman"/>
          <w:sz w:val="40"/>
          <w:szCs w:val="40"/>
        </w:rPr>
      </w:pPr>
      <w:r>
        <w:rPr>
          <w:rFonts w:ascii="Times New Roman" w:hAnsi="Times New Roman"/>
          <w:sz w:val="40"/>
          <w:szCs w:val="40"/>
        </w:rPr>
        <w:t>Свлачища в област Бургас</w:t>
      </w:r>
    </w:p>
    <w:p>
      <w:pPr>
        <w:pStyle w:val="Normal"/>
        <w:jc w:val="center"/>
        <w:rPr>
          <w:rFonts w:ascii="Times New Roman" w:hAnsi="Times New Roman"/>
          <w:sz w:val="40"/>
          <w:szCs w:val="40"/>
        </w:rPr>
      </w:pPr>
      <w:r>
        <w:rPr>
          <w:rFonts w:ascii="Times New Roman" w:hAnsi="Times New Roman"/>
          <w:sz w:val="40"/>
          <w:szCs w:val="40"/>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spacing w:before="0" w:after="0"/>
        <w:rPr>
          <w:rFonts w:ascii="Times New Roman" w:hAnsi="Times New Roman"/>
          <w:sz w:val="32"/>
          <w:szCs w:val="32"/>
          <w:lang w:val="en-US"/>
        </w:rPr>
      </w:pPr>
      <w:r>
        <w:rPr>
          <w:rFonts w:ascii="Times New Roman" w:hAnsi="Times New Roman"/>
          <w:sz w:val="32"/>
          <w:szCs w:val="32"/>
          <w:lang w:val="en-US"/>
        </w:rPr>
      </w:r>
    </w:p>
    <w:p>
      <w:pPr>
        <w:pStyle w:val="Normal"/>
        <w:spacing w:before="0" w:after="0"/>
        <w:rPr>
          <w:rFonts w:ascii="Times New Roman" w:hAnsi="Times New Roman"/>
          <w:sz w:val="28"/>
          <w:szCs w:val="28"/>
        </w:rPr>
      </w:pPr>
      <w:r>
        <w:rPr>
          <w:rFonts w:ascii="Times New Roman" w:hAnsi="Times New Roman"/>
          <w:sz w:val="28"/>
          <w:szCs w:val="28"/>
        </w:rPr>
        <w:t>Студент</w:t>
      </w:r>
      <w:r>
        <w:rPr>
          <w:rFonts w:ascii="Times New Roman" w:hAnsi="Times New Roman"/>
          <w:sz w:val="28"/>
          <w:szCs w:val="28"/>
          <w:lang w:val="en-US"/>
        </w:rPr>
        <w:t>:</w:t>
      </w:r>
      <w:bookmarkStart w:id="0" w:name="_GoBack"/>
      <w:bookmarkEnd w:id="0"/>
      <w:r>
        <w:rPr>
          <w:rFonts w:ascii="Times New Roman" w:hAnsi="Times New Roman"/>
          <w:sz w:val="28"/>
          <w:szCs w:val="28"/>
          <w:lang w:val="en-US"/>
        </w:rPr>
        <w:t xml:space="preserve">                               </w:t>
      </w:r>
      <w:r>
        <w:rPr>
          <w:rFonts w:ascii="Times New Roman" w:hAnsi="Times New Roman"/>
          <w:sz w:val="28"/>
          <w:szCs w:val="28"/>
        </w:rPr>
        <w:t>Проверител:</w:t>
      </w:r>
    </w:p>
    <w:p>
      <w:pPr>
        <w:pStyle w:val="Normal"/>
        <w:spacing w:before="0" w:after="0"/>
        <w:jc w:val="both"/>
        <w:rPr>
          <w:lang w:val="en-US"/>
        </w:rPr>
      </w:pPr>
      <w:r>
        <w:rPr>
          <w:rFonts w:ascii="Times New Roman" w:hAnsi="Times New Roman"/>
          <w:sz w:val="28"/>
          <w:szCs w:val="28"/>
        </w:rPr>
        <w:t>Факултетен номер</w:t>
      </w:r>
      <w:r>
        <w:rPr>
          <w:rFonts w:ascii="Times New Roman" w:hAnsi="Times New Roman"/>
          <w:sz w:val="28"/>
          <w:szCs w:val="28"/>
          <w:lang w:val="en-US"/>
        </w:rPr>
        <w:t xml:space="preserve">: 0348              </w:t>
      </w:r>
      <w:r>
        <w:rPr>
          <w:rFonts w:ascii="Times New Roman" w:hAnsi="Times New Roman"/>
          <w:sz w:val="28"/>
          <w:szCs w:val="28"/>
        </w:rPr>
        <w:t xml:space="preserve">                    </w:t>
      </w:r>
    </w:p>
    <w:p>
      <w:pPr>
        <w:pStyle w:val="Normal"/>
        <w:rPr/>
      </w:pPr>
      <w:r>
        <w:rPr/>
      </w:r>
    </w:p>
    <w:p>
      <w:pPr>
        <w:pStyle w:val="Normal"/>
        <w:spacing w:before="0" w:after="0"/>
        <w:jc w:val="both"/>
        <w:rPr>
          <w:rFonts w:ascii="Times New Roman" w:hAnsi="Times New Roman"/>
          <w:sz w:val="24"/>
        </w:rPr>
      </w:pPr>
      <w:r>
        <w:rPr>
          <w:rFonts w:ascii="Times New Roman" w:hAnsi="Times New Roman"/>
          <w:sz w:val="24"/>
          <w:lang w:val="en-US"/>
        </w:rPr>
        <w:t xml:space="preserve">I. </w:t>
      </w:r>
      <w:r>
        <w:rPr>
          <w:rFonts w:ascii="Times New Roman" w:hAnsi="Times New Roman"/>
          <w:sz w:val="24"/>
        </w:rPr>
        <w:t>Въведение и основни понятия........................................................................................1</w:t>
      </w:r>
    </w:p>
    <w:p>
      <w:pPr>
        <w:pStyle w:val="Normal"/>
        <w:spacing w:before="0" w:after="0"/>
        <w:jc w:val="both"/>
        <w:rPr>
          <w:rFonts w:ascii="Times New Roman" w:hAnsi="Times New Roman"/>
          <w:sz w:val="24"/>
        </w:rPr>
      </w:pPr>
      <w:r>
        <w:rPr>
          <w:rFonts w:ascii="Times New Roman" w:hAnsi="Times New Roman"/>
          <w:sz w:val="24"/>
        </w:rPr>
        <w:t xml:space="preserve"> </w:t>
      </w:r>
      <w:r>
        <w:rPr>
          <w:rFonts w:ascii="Times New Roman" w:hAnsi="Times New Roman"/>
          <w:sz w:val="24"/>
        </w:rPr>
        <w:t>1.1 Фактори влияещи върху свлачищния процес............................................................1</w:t>
      </w:r>
    </w:p>
    <w:p>
      <w:pPr>
        <w:pStyle w:val="Normal"/>
        <w:spacing w:before="0" w:after="0"/>
        <w:jc w:val="both"/>
        <w:rPr>
          <w:rFonts w:ascii="Times New Roman" w:hAnsi="Times New Roman"/>
          <w:sz w:val="24"/>
        </w:rPr>
      </w:pPr>
      <w:r>
        <w:rPr>
          <w:rFonts w:ascii="Times New Roman" w:hAnsi="Times New Roman"/>
          <w:sz w:val="24"/>
        </w:rPr>
        <w:t xml:space="preserve"> </w:t>
      </w:r>
      <w:r>
        <w:rPr>
          <w:rFonts w:ascii="Times New Roman" w:hAnsi="Times New Roman"/>
          <w:sz w:val="24"/>
        </w:rPr>
        <w:t>1.2 Абразия...........................................................................................................................2</w:t>
      </w:r>
    </w:p>
    <w:p>
      <w:pPr>
        <w:pStyle w:val="Normal"/>
        <w:spacing w:before="0" w:after="0"/>
        <w:jc w:val="both"/>
        <w:rPr>
          <w:rFonts w:ascii="Times New Roman" w:hAnsi="Times New Roman"/>
          <w:sz w:val="24"/>
        </w:rPr>
      </w:pPr>
      <w:r>
        <w:rPr>
          <w:rFonts w:ascii="Times New Roman" w:hAnsi="Times New Roman"/>
          <w:sz w:val="24"/>
          <w:lang w:val="en-US"/>
        </w:rPr>
        <w:t>II</w:t>
      </w:r>
      <w:r>
        <w:rPr>
          <w:rFonts w:ascii="Times New Roman" w:hAnsi="Times New Roman"/>
          <w:sz w:val="24"/>
        </w:rPr>
        <w:t>. Брегоукрепителни съоражения......................................................................................3</w:t>
      </w:r>
    </w:p>
    <w:p>
      <w:pPr>
        <w:pStyle w:val="Normal"/>
        <w:spacing w:before="0" w:after="0"/>
        <w:jc w:val="both"/>
        <w:rPr>
          <w:rFonts w:ascii="Times New Roman" w:hAnsi="Times New Roman"/>
          <w:sz w:val="24"/>
        </w:rPr>
      </w:pPr>
      <w:r>
        <w:rPr>
          <w:rFonts w:ascii="Times New Roman" w:hAnsi="Times New Roman"/>
          <w:sz w:val="24"/>
          <w:lang w:val="en-US"/>
        </w:rPr>
        <w:t xml:space="preserve">III. </w:t>
      </w:r>
      <w:r>
        <w:rPr>
          <w:rFonts w:ascii="Times New Roman" w:hAnsi="Times New Roman"/>
          <w:sz w:val="24"/>
        </w:rPr>
        <w:t>Регистрирани свлачища в област Бургас.....................................................................4</w:t>
      </w:r>
    </w:p>
    <w:p>
      <w:pPr>
        <w:pStyle w:val="Normal"/>
        <w:spacing w:before="0" w:after="0"/>
        <w:jc w:val="both"/>
        <w:rPr>
          <w:rFonts w:ascii="Times New Roman" w:hAnsi="Times New Roman"/>
          <w:sz w:val="24"/>
        </w:rPr>
      </w:pPr>
      <w:r>
        <w:rPr>
          <w:rFonts w:ascii="Times New Roman" w:hAnsi="Times New Roman"/>
          <w:sz w:val="24"/>
          <w:lang w:val="en-US"/>
        </w:rPr>
        <w:t xml:space="preserve">IV. </w:t>
      </w:r>
      <w:r>
        <w:rPr>
          <w:rFonts w:ascii="Times New Roman" w:hAnsi="Times New Roman"/>
          <w:sz w:val="24"/>
        </w:rPr>
        <w:t>Видове мониторинг на свлачищните процеси...........................................................5</w:t>
      </w:r>
    </w:p>
    <w:p>
      <w:pPr>
        <w:pStyle w:val="Normal"/>
        <w:spacing w:before="0" w:after="0"/>
        <w:jc w:val="both"/>
        <w:rPr>
          <w:rFonts w:ascii="Times New Roman" w:hAnsi="Times New Roman"/>
          <w:sz w:val="24"/>
          <w:lang w:val="en-US"/>
        </w:rPr>
      </w:pPr>
      <w:r>
        <w:rPr>
          <w:rFonts w:ascii="Times New Roman" w:hAnsi="Times New Roman"/>
          <w:sz w:val="24"/>
          <w:lang w:val="en-US"/>
        </w:rPr>
        <w:t xml:space="preserve">V. </w:t>
      </w:r>
      <w:r>
        <w:rPr>
          <w:rFonts w:ascii="Times New Roman" w:hAnsi="Times New Roman"/>
          <w:sz w:val="24"/>
        </w:rPr>
        <w:t>План за действие при свлачища и срутища в област Бургас.....................................</w:t>
      </w:r>
      <w:r>
        <w:rPr>
          <w:rFonts w:ascii="Times New Roman" w:hAnsi="Times New Roman"/>
          <w:sz w:val="24"/>
          <w:lang w:val="en-US"/>
        </w:rPr>
        <w:t>.</w:t>
      </w:r>
      <w:r>
        <w:rPr>
          <w:rFonts w:ascii="Times New Roman" w:hAnsi="Times New Roman"/>
          <w:sz w:val="24"/>
        </w:rPr>
        <w:t>6</w:t>
      </w:r>
    </w:p>
    <w:p>
      <w:pPr>
        <w:pStyle w:val="Normal"/>
        <w:spacing w:before="0" w:after="0"/>
        <w:jc w:val="both"/>
        <w:rPr>
          <w:rFonts w:ascii="Times New Roman" w:hAnsi="Times New Roman"/>
          <w:sz w:val="24"/>
        </w:rPr>
      </w:pPr>
      <w:r>
        <w:rPr>
          <w:rFonts w:ascii="Times New Roman" w:hAnsi="Times New Roman"/>
          <w:sz w:val="24"/>
          <w:lang w:val="en-US"/>
        </w:rPr>
        <w:t xml:space="preserve">VI  </w:t>
      </w:r>
      <w:r>
        <w:rPr>
          <w:rFonts w:ascii="Times New Roman" w:hAnsi="Times New Roman"/>
          <w:sz w:val="24"/>
        </w:rPr>
        <w:t>Заключение ...................................................................................................................6,7</w:t>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t xml:space="preserve">Националната програма за защита при бедствия е основен документ в областта на предотвратяване, овладяване и преодоляване на последиците от бедствия и аварии.Закона за защита при бедствия също е документ, който урежда въпроса относно природните и геоложките рискове на територията на Република България.Закона определя бедствието като събитие или поредица от събития, предизвикани от природни явления, инциденти аварии или други извънредни обстоятелства, които засягат или застрашават живота или здравето на населението, имуществото  или околната  среда в размери, които изискват предприемането на мерки или участието на специални сили и използването на специални ресурси.В Националната програма за бедствия и аварии свлачищата са описани като част от геодинамичните процеси и в частност това са гравитационни процеси, образуващи се в следствие на нарушаване устойчивостта на естествените склонове и придвижване на земни маси.Свлачищата са опасни геоложки процеси развиващи се в наклонени терени като речно-долинни склонове, морски брегове, хълмисти територии, периферии на плана, предпланиннски и планински възвишения. </w:t>
      </w:r>
    </w:p>
    <w:p>
      <w:pPr>
        <w:pStyle w:val="Normal"/>
        <w:spacing w:lineRule="auto" w:line="360" w:before="0" w:after="0"/>
        <w:jc w:val="both"/>
        <w:rPr>
          <w:rFonts w:ascii="Times New Roman" w:hAnsi="Times New Roman"/>
          <w:sz w:val="24"/>
        </w:rPr>
      </w:pPr>
      <w:r>
        <w:rPr>
          <w:rFonts w:ascii="Times New Roman" w:hAnsi="Times New Roman"/>
          <w:sz w:val="24"/>
        </w:rPr>
        <w:t>Определени са 2 типа фактори, които влияят за възникването и активизирането на свлачищните процеси – природни и техногенни фактори.В природните фактори се включват  неблагоприятни геоложки условия, съвременни тектонски и сеизмични процеси като нагъване, наклоняване, разкъсване и разместване на земните пластове, интензивност на валежите, съвременни и древни геоложки процеси като морска абразия, щормови вълнения, ерозия и изветрителни процеси.Техногенните фактори или  т.нар влияние на човека включва – състояние на водоснабдителните и канализационни мрежи, липса на канализация, неправилно отвеждане на повърхностния отток, недостатъчна подръжка на изградените отводнителни, дренажни и др съоражения, изработване на устройствени планове без съобразяване с геоложките условия, добив на полезни изкопаеми и др.</w:t>
      </w:r>
    </w:p>
    <w:p>
      <w:pPr>
        <w:pStyle w:val="Normal"/>
        <w:spacing w:lineRule="auto" w:line="360" w:before="0" w:after="0"/>
        <w:jc w:val="both"/>
        <w:rPr>
          <w:rFonts w:ascii="Times New Roman" w:hAnsi="Times New Roman"/>
          <w:sz w:val="24"/>
        </w:rPr>
      </w:pPr>
      <w:r>
        <w:rPr>
          <w:rFonts w:ascii="Times New Roman" w:hAnsi="Times New Roman"/>
          <w:sz w:val="24"/>
        </w:rPr>
        <w:t>След изложените факти може да се обобщи, че свлачищата са едновременно и природно явление и такова причинена от човека, което носи опасни последици.На територията на  нашата страна са обособени няколко свлачищни района – Черноморски, Дунавски, Предбалкански, Подбалкански, Софийски, Югозападен, Родопски. Най-големият е Черноморският свлачищен район, в който попада  област Бургас, която  област аз избрах за обект на моята курсова работа.</w:t>
      </w:r>
    </w:p>
    <w:p>
      <w:pPr>
        <w:pStyle w:val="Normal"/>
        <w:spacing w:lineRule="auto" w:line="360" w:before="0" w:after="0"/>
        <w:jc w:val="center"/>
        <w:rPr>
          <w:rFonts w:ascii="Times New Roman" w:hAnsi="Times New Roman"/>
          <w:sz w:val="24"/>
        </w:rPr>
      </w:pPr>
      <w:r>
        <w:rPr>
          <w:rFonts w:ascii="Times New Roman" w:hAnsi="Times New Roman"/>
          <w:sz w:val="24"/>
        </w:rPr>
        <w:t>1</w:t>
      </w:r>
    </w:p>
    <w:p>
      <w:pPr>
        <w:pStyle w:val="Normal"/>
        <w:spacing w:lineRule="auto" w:line="360" w:before="0" w:after="0"/>
        <w:jc w:val="both"/>
        <w:rPr>
          <w:rFonts w:ascii="Times New Roman" w:hAnsi="Times New Roman"/>
          <w:sz w:val="24"/>
        </w:rPr>
      </w:pPr>
      <w:r>
        <w:rPr>
          <w:rFonts w:ascii="Times New Roman" w:hAnsi="Times New Roman"/>
          <w:sz w:val="24"/>
        </w:rPr>
        <w:t xml:space="preserve">Област Бургас е разположена в югоизточната част на България и заема площ от 7748,1 кв.км като това я прави втората по големина след Софийска област.Излазът на областта на Черно море я включва към Черноморския свлачищен район. Бургаска област  включва в себе си низина, която се е оформила на фона на плитка синклинална структура, запълнена от плиоценски и квартернерни седименти.За възникването на свлачищата в тази област е допринесла морската абразия, която е характерна за Черноморския свлачищен район. </w:t>
      </w:r>
    </w:p>
    <w:p>
      <w:pPr>
        <w:pStyle w:val="Normal"/>
        <w:spacing w:lineRule="auto" w:line="360" w:before="0" w:after="0"/>
        <w:jc w:val="both"/>
        <w:rPr>
          <w:rFonts w:ascii="Times New Roman" w:hAnsi="Times New Roman"/>
          <w:sz w:val="24"/>
          <w:lang w:val="en-US"/>
        </w:rPr>
      </w:pPr>
      <w:r>
        <w:rPr>
          <w:rFonts w:ascii="Times New Roman" w:hAnsi="Times New Roman"/>
          <w:sz w:val="24"/>
        </w:rPr>
        <w:t xml:space="preserve">Абразията е процес на механическо разрушаване на коренните скали на брега и подводния брегови склон под действието на морските вълни. Терминът произлиза от латинската дума </w:t>
      </w:r>
      <w:r>
        <w:rPr>
          <w:rFonts w:ascii="Times New Roman" w:hAnsi="Times New Roman"/>
          <w:sz w:val="24"/>
          <w:lang w:val="en-US"/>
        </w:rPr>
        <w:t>“abrado”</w:t>
      </w:r>
      <w:r>
        <w:rPr>
          <w:rFonts w:ascii="Times New Roman" w:hAnsi="Times New Roman"/>
          <w:sz w:val="24"/>
        </w:rPr>
        <w:t xml:space="preserve"> и означава остъргвам. Освен абразия съществува и друг термин -  размиване, което е процес на разрушаване на акумулационните брегови зони.Тези две понятия не бива да се бъркат, защото абразията е необратим процес а размиването е обратимо и отново може да настъпи акумулация. В резултат на абразията произтича преработка на профила на изходния слабонаклонен откос, който е залят от морските вълни.</w:t>
      </w:r>
      <w:r>
        <w:rPr>
          <w:rFonts w:ascii="Times New Roman" w:hAnsi="Times New Roman"/>
          <w:sz w:val="24"/>
          <w:lang w:val="en-US"/>
        </w:rPr>
        <w:t>(</w:t>
      </w:r>
      <w:r>
        <w:rPr>
          <w:rFonts w:ascii="Times New Roman" w:hAnsi="Times New Roman"/>
          <w:sz w:val="24"/>
        </w:rPr>
        <w:t>фиг.  Схема на абразията</w:t>
      </w:r>
      <w:r>
        <w:rPr>
          <w:rFonts w:ascii="Times New Roman" w:hAnsi="Times New Roman"/>
          <w:sz w:val="24"/>
          <w:lang w:val="en-US"/>
        </w:rPr>
        <w:t>)</w:t>
      </w:r>
    </w:p>
    <w:p>
      <w:pPr>
        <w:pStyle w:val="Normal"/>
        <w:spacing w:lineRule="auto" w:line="360" w:before="0" w:after="0"/>
        <w:jc w:val="both"/>
        <w:rPr>
          <w:rFonts w:ascii="Times New Roman" w:hAnsi="Times New Roman"/>
          <w:sz w:val="24"/>
        </w:rPr>
      </w:pPr>
      <w:r>
        <w:rPr/>
        <w:drawing>
          <wp:inline distT="0" distB="3810" distL="0" distR="0">
            <wp:extent cx="3552825" cy="2397125"/>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3552825" cy="2397125"/>
                    </a:xfrm>
                    <a:prstGeom prst="rect">
                      <a:avLst/>
                    </a:prstGeom>
                  </pic:spPr>
                </pic:pic>
              </a:graphicData>
            </a:graphic>
          </wp:inline>
        </w:drawing>
      </w:r>
    </w:p>
    <w:p>
      <w:pPr>
        <w:pStyle w:val="Normal"/>
        <w:spacing w:lineRule="auto" w:line="360" w:before="0" w:after="0"/>
        <w:jc w:val="both"/>
        <w:rPr>
          <w:rFonts w:ascii="Times New Roman" w:hAnsi="Times New Roman"/>
          <w:sz w:val="24"/>
        </w:rPr>
      </w:pPr>
      <w:r>
        <w:rPr>
          <w:rFonts w:ascii="Times New Roman" w:hAnsi="Times New Roman"/>
          <w:sz w:val="24"/>
        </w:rPr>
        <w:t>В България от 378 км дължина на бреговата линия, 226 км са подложени на активна абразия.Абразията се приема  като процес на механично разрушаване на брега – отстъпване на коренния бряг, извличане на чакъл, пясък и по-дребни материали, които изграждат подводния брегови склон, бенча и клифа.</w:t>
      </w:r>
      <w:r>
        <w:rPr/>
        <w:t xml:space="preserve"> </w:t>
      </w:r>
    </w:p>
    <w:p>
      <w:pPr>
        <w:pStyle w:val="Normal"/>
        <w:spacing w:lineRule="auto" w:line="360" w:before="0" w:after="0"/>
        <w:jc w:val="both"/>
        <w:rPr>
          <w:rFonts w:ascii="Times New Roman" w:hAnsi="Times New Roman"/>
          <w:sz w:val="24"/>
        </w:rPr>
      </w:pPr>
      <w:r>
        <w:rPr>
          <w:rFonts w:ascii="Times New Roman" w:hAnsi="Times New Roman"/>
          <w:sz w:val="24"/>
        </w:rPr>
        <w:t xml:space="preserve">Главен фактор, влияещ върху скоростта на абразията е геоложкият строеж и свойствата на скалите.Други фактори са вълнов режим, експозиция на брега,колебания на морското ниво, количеството на наносите, наклон на подводния брегови склон и </w:t>
      </w:r>
    </w:p>
    <w:p>
      <w:pPr>
        <w:pStyle w:val="Normal"/>
        <w:spacing w:lineRule="auto" w:line="360" w:before="0" w:after="0"/>
        <w:jc w:val="center"/>
        <w:rPr>
          <w:rFonts w:ascii="Times New Roman" w:hAnsi="Times New Roman"/>
          <w:sz w:val="24"/>
        </w:rPr>
      </w:pPr>
      <w:r>
        <w:rPr>
          <w:rFonts w:ascii="Times New Roman" w:hAnsi="Times New Roman"/>
          <w:sz w:val="24"/>
        </w:rPr>
        <w:t>2</w:t>
      </w:r>
    </w:p>
    <w:p>
      <w:pPr>
        <w:pStyle w:val="Normal"/>
        <w:spacing w:lineRule="auto" w:line="360" w:before="0" w:after="0"/>
        <w:jc w:val="both"/>
        <w:rPr>
          <w:rFonts w:ascii="Times New Roman" w:hAnsi="Times New Roman"/>
          <w:sz w:val="24"/>
        </w:rPr>
      </w:pPr>
      <w:r>
        <w:rPr>
          <w:rFonts w:ascii="Times New Roman" w:hAnsi="Times New Roman"/>
          <w:sz w:val="24"/>
        </w:rPr>
        <w:t>височината на клифа както и изгражданета на неподходящи места на хидротехнически съоражения.</w:t>
      </w:r>
    </w:p>
    <w:p>
      <w:pPr>
        <w:pStyle w:val="Normal"/>
        <w:spacing w:lineRule="auto" w:line="360" w:before="0" w:after="0"/>
        <w:jc w:val="both"/>
        <w:rPr>
          <w:rFonts w:ascii="Times New Roman" w:hAnsi="Times New Roman"/>
          <w:sz w:val="24"/>
        </w:rPr>
      </w:pPr>
      <w:r>
        <w:rPr>
          <w:rFonts w:ascii="Times New Roman" w:hAnsi="Times New Roman"/>
          <w:sz w:val="24"/>
        </w:rPr>
        <w:t>През последните десетилетия абразионният процес се активизира поради повишаване на морското ниво със скорост 1,5 mm/год. в резултат на глобалното затопляне на климата и намаляването  на подхранването на плажовете с наноси, поради строителството на хидротехнически съоръжения на язовири по черноморските реки.</w:t>
      </w:r>
    </w:p>
    <w:p>
      <w:pPr>
        <w:pStyle w:val="Normal"/>
        <w:spacing w:lineRule="auto" w:line="360" w:before="0" w:after="0"/>
        <w:jc w:val="both"/>
        <w:rPr>
          <w:rFonts w:ascii="Times New Roman" w:hAnsi="Times New Roman"/>
          <w:sz w:val="24"/>
        </w:rPr>
      </w:pPr>
      <w:r>
        <w:rPr>
          <w:rFonts w:ascii="Times New Roman" w:hAnsi="Times New Roman"/>
          <w:sz w:val="24"/>
        </w:rPr>
        <w:t xml:space="preserve">Изградени са брегоукрепителни съоръжения през 80-те години, което  разширява значително частта от брега с прекратено абразионно въздействие.Те са 13: </w:t>
      </w:r>
    </w:p>
    <w:p>
      <w:pPr>
        <w:pStyle w:val="Normal"/>
        <w:spacing w:lineRule="auto" w:line="360" w:before="0" w:after="0"/>
        <w:jc w:val="both"/>
        <w:rPr>
          <w:rFonts w:ascii="Times New Roman" w:hAnsi="Times New Roman"/>
          <w:sz w:val="24"/>
        </w:rPr>
      </w:pPr>
      <w:r>
        <w:rPr>
          <w:rFonts w:ascii="Times New Roman" w:hAnsi="Times New Roman"/>
          <w:sz w:val="24"/>
        </w:rPr>
        <w:t xml:space="preserve">Крапецки (нос Сиврибурун - нос Шабла); Тюленовски (нос Шабла - нос Икантълък); Балчишки (нос Икантълък - нос Калето); Варненски ( нос Калето - нос Галата); </w:t>
      </w:r>
    </w:p>
    <w:p>
      <w:pPr>
        <w:pStyle w:val="Normal"/>
        <w:spacing w:lineRule="auto" w:line="360" w:before="0" w:after="0"/>
        <w:jc w:val="both"/>
        <w:rPr>
          <w:rFonts w:ascii="Times New Roman" w:hAnsi="Times New Roman"/>
          <w:sz w:val="24"/>
        </w:rPr>
      </w:pPr>
      <w:r>
        <w:rPr>
          <w:rFonts w:ascii="Times New Roman" w:hAnsi="Times New Roman"/>
          <w:sz w:val="24"/>
        </w:rPr>
        <w:t xml:space="preserve">Шкорпиловски (нос Галата - Черни нос); Обзорски (Черни нос – нос Кочан); Ираклийски (нос Кочан - нос Емине); Несебърски (нос Емине - гр.Несебър); Бургаски (гр.Несебър - нос Форос); Черноморецки (нос Форос - Вълнолома Созопол); Созополски (Вълнолома Созопол - нос Коракя); Мичурински - Царевски (нос Коракя - река Резовска ). </w:t>
      </w:r>
    </w:p>
    <w:p>
      <w:pPr>
        <w:pStyle w:val="Normal"/>
        <w:spacing w:lineRule="auto" w:line="360" w:before="0" w:after="0"/>
        <w:jc w:val="both"/>
        <w:rPr>
          <w:rFonts w:ascii="Times New Roman" w:hAnsi="Times New Roman"/>
          <w:sz w:val="24"/>
        </w:rPr>
      </w:pPr>
      <w:r>
        <w:rPr>
          <w:rFonts w:ascii="Times New Roman" w:hAnsi="Times New Roman"/>
          <w:sz w:val="24"/>
        </w:rPr>
        <w:t>В брегоукрепителните райони са формирани брегоукрепителни участъци със следните критерии: скорост на размиване или абразия на участъка, наносформираща възможност на участъка, литодинамична зависимост между съседни участъци. Определени са и няколко категории участъци:  устойчиви на абразия, участъци с допустимо абрадиране за определен период, уцастъци в динамично равновесие, наносформиращи участъци и участъци нуждаещи се от брегозащита.</w:t>
      </w:r>
    </w:p>
    <w:p>
      <w:pPr>
        <w:pStyle w:val="Normal"/>
        <w:spacing w:lineRule="auto" w:line="360" w:before="0" w:after="0"/>
        <w:jc w:val="both"/>
        <w:rPr>
          <w:rFonts w:ascii="Times New Roman" w:hAnsi="Times New Roman"/>
          <w:sz w:val="24"/>
        </w:rPr>
      </w:pPr>
      <w:r>
        <w:rPr>
          <w:rFonts w:ascii="Times New Roman" w:hAnsi="Times New Roman"/>
          <w:sz w:val="24"/>
        </w:rPr>
        <w:t xml:space="preserve"> </w:t>
      </w:r>
      <w:r>
        <w:rPr>
          <w:rFonts w:ascii="Times New Roman" w:hAnsi="Times New Roman"/>
          <w:sz w:val="24"/>
        </w:rPr>
        <w:t>Фактори влияещи конкретно върху образуването на свлачищни процеси в област Бургас са – подпочвени води, валежи, морско вълнение, прекомерно строителство, отсъствие на канализационна мрежа, неправилно брегукрепително строителство и др. Малка част от свлачищните участъци са укрепени, като в много случаи укрепителните мероприятия не са извършени в необходимия обем или са неефективни, което създава риск за активизиране на свлачищни масиви.</w:t>
      </w:r>
    </w:p>
    <w:p>
      <w:pPr>
        <w:pStyle w:val="Normal"/>
        <w:spacing w:lineRule="auto" w:line="360" w:before="0" w:after="0"/>
        <w:jc w:val="both"/>
        <w:rPr>
          <w:rFonts w:ascii="Times New Roman" w:hAnsi="Times New Roman"/>
          <w:sz w:val="24"/>
        </w:rPr>
      </w:pPr>
      <w:r>
        <w:rPr>
          <w:rFonts w:ascii="Times New Roman" w:hAnsi="Times New Roman"/>
          <w:sz w:val="24"/>
        </w:rPr>
        <w:t xml:space="preserve">В областта има участъци с клифов бряг със стръмни склонове, където няма пясъчни ивици. При тях изветрителните процеси създават условия за срутищни прояви, като колкото е по-висок склонът толкова са по мащабни срутищните прояви.Крайбрежната територия на областта е подложена на издигане и потъване, които са довели до отлагането на разнородни седименти. Едновременно активно проявяващите се тектонски движения и абразията са предизвикали изменение на релефа. </w:t>
      </w:r>
    </w:p>
    <w:p>
      <w:pPr>
        <w:pStyle w:val="Normal"/>
        <w:spacing w:lineRule="auto" w:line="360" w:before="0" w:after="0"/>
        <w:jc w:val="center"/>
        <w:rPr>
          <w:rFonts w:ascii="Times New Roman" w:hAnsi="Times New Roman"/>
          <w:sz w:val="24"/>
        </w:rPr>
      </w:pPr>
      <w:r>
        <w:rPr>
          <w:rFonts w:ascii="Times New Roman" w:hAnsi="Times New Roman"/>
          <w:sz w:val="24"/>
        </w:rPr>
        <w:t>3</w:t>
      </w:r>
    </w:p>
    <w:p>
      <w:pPr>
        <w:pStyle w:val="Normal"/>
        <w:spacing w:lineRule="auto" w:line="360" w:before="0" w:after="0"/>
        <w:jc w:val="both"/>
        <w:rPr>
          <w:rFonts w:ascii="Times New Roman" w:hAnsi="Times New Roman"/>
          <w:sz w:val="24"/>
        </w:rPr>
      </w:pPr>
      <w:r>
        <w:rPr>
          <w:rFonts w:ascii="Times New Roman" w:hAnsi="Times New Roman"/>
          <w:sz w:val="24"/>
        </w:rPr>
        <w:t>Свлачищата в област Бургас са активни през последните 30-40 години.</w:t>
      </w:r>
    </w:p>
    <w:p>
      <w:pPr>
        <w:pStyle w:val="Normal"/>
        <w:spacing w:lineRule="auto" w:line="360" w:before="0" w:after="0"/>
        <w:jc w:val="both"/>
        <w:rPr>
          <w:rFonts w:ascii="Times New Roman" w:hAnsi="Times New Roman"/>
          <w:sz w:val="24"/>
        </w:rPr>
      </w:pPr>
      <w:r>
        <w:rPr>
          <w:rFonts w:ascii="Times New Roman" w:hAnsi="Times New Roman"/>
          <w:sz w:val="24"/>
        </w:rPr>
        <w:t>Регистрирани свлачища на територията на област Бургас към 30.05.2012г.</w:t>
      </w:r>
    </w:p>
    <w:p>
      <w:pPr>
        <w:pStyle w:val="Normal"/>
        <w:spacing w:lineRule="auto" w:line="360" w:before="0" w:after="0"/>
        <w:jc w:val="both"/>
        <w:rPr>
          <w:rFonts w:ascii="Times New Roman" w:hAnsi="Times New Roman"/>
          <w:sz w:val="24"/>
        </w:rPr>
      </w:pPr>
      <w:r>
        <w:rPr>
          <w:rFonts w:ascii="Times New Roman" w:hAnsi="Times New Roman"/>
          <w:sz w:val="24"/>
        </w:rPr>
        <w:t>1. Гр.Бургас  на територията на Морската градина от входа на Централния плаж до Летния театър. Известно е от 1998г. и засяга пешеходни алеи и сградата на Казиното.През 2001г по проект на МРРБ, свлачището е укрепено.</w:t>
      </w:r>
    </w:p>
    <w:p>
      <w:pPr>
        <w:pStyle w:val="Normal"/>
        <w:spacing w:lineRule="auto" w:line="360" w:before="0" w:after="0"/>
        <w:jc w:val="both"/>
        <w:rPr>
          <w:rFonts w:ascii="Times New Roman" w:hAnsi="Times New Roman"/>
          <w:sz w:val="24"/>
        </w:rPr>
      </w:pPr>
      <w:r>
        <w:rPr>
          <w:rFonts w:ascii="Times New Roman" w:hAnsi="Times New Roman"/>
          <w:sz w:val="24"/>
        </w:rPr>
        <w:t>2.Южно и североизточно от кв.Сарафово. Свлачището засяга пбажната ивица и инфраструктурни обекти. Започнало още пред 1964г, като през 1998г е изработен проект за укрепването му и през 2001г е изпълнено укрепване на южната част на свлачищния район. Въпреки това е останал неукрепен участък в южния край в посока към гр.Бургас, но не застрашава сгради и инфраструктура.</w:t>
      </w:r>
    </w:p>
    <w:p>
      <w:pPr>
        <w:pStyle w:val="Normal"/>
        <w:spacing w:lineRule="auto" w:line="360" w:before="0" w:after="0"/>
        <w:jc w:val="both"/>
        <w:rPr>
          <w:rFonts w:ascii="Times New Roman" w:hAnsi="Times New Roman"/>
          <w:sz w:val="24"/>
        </w:rPr>
      </w:pPr>
      <w:r>
        <w:rPr>
          <w:rFonts w:ascii="Times New Roman" w:hAnsi="Times New Roman"/>
          <w:sz w:val="24"/>
        </w:rPr>
        <w:t xml:space="preserve">3. На територията на парк „Росенец„ . Свлачището засяга плажната ивица и инфраструктурни обекти. Укрепено през 2002г. </w:t>
      </w:r>
    </w:p>
    <w:p>
      <w:pPr>
        <w:pStyle w:val="Normal"/>
        <w:spacing w:lineRule="auto" w:line="360" w:before="0" w:after="0"/>
        <w:jc w:val="both"/>
        <w:rPr>
          <w:rFonts w:ascii="Times New Roman" w:hAnsi="Times New Roman"/>
          <w:sz w:val="24"/>
        </w:rPr>
      </w:pPr>
      <w:r>
        <w:rPr>
          <w:rFonts w:ascii="Times New Roman" w:hAnsi="Times New Roman"/>
          <w:sz w:val="24"/>
        </w:rPr>
        <w:t xml:space="preserve">4. Свлачище на път </w:t>
      </w:r>
      <w:r>
        <w:rPr>
          <w:rFonts w:ascii="Times New Roman" w:hAnsi="Times New Roman"/>
          <w:sz w:val="24"/>
          <w:lang w:val="en-US"/>
        </w:rPr>
        <w:t xml:space="preserve">III </w:t>
      </w:r>
      <w:r>
        <w:rPr>
          <w:rFonts w:ascii="Times New Roman" w:hAnsi="Times New Roman"/>
          <w:sz w:val="24"/>
        </w:rPr>
        <w:t>– 7909. След обилни дъждове и снеготопене под влияние на автомобилното движение е улегнало пътното платно и са образувани пукнатини на настилката.</w:t>
      </w:r>
    </w:p>
    <w:p>
      <w:pPr>
        <w:pStyle w:val="Normal"/>
        <w:spacing w:lineRule="auto" w:line="360" w:before="0" w:after="0"/>
        <w:jc w:val="both"/>
        <w:rPr>
          <w:rFonts w:ascii="Times New Roman" w:hAnsi="Times New Roman"/>
          <w:sz w:val="24"/>
        </w:rPr>
      </w:pPr>
      <w:r>
        <w:rPr>
          <w:rFonts w:ascii="Times New Roman" w:hAnsi="Times New Roman"/>
          <w:sz w:val="24"/>
        </w:rPr>
        <w:t>Има свлачища и в селата с.Заимчево, с. Планиница, и по пътя между селата Ясеново и Снежа. И на трите места има опасност селата да останат без пътна връзка.</w:t>
      </w:r>
    </w:p>
    <w:p>
      <w:pPr>
        <w:pStyle w:val="Normal"/>
        <w:spacing w:lineRule="auto" w:line="360" w:before="0" w:after="0"/>
        <w:jc w:val="both"/>
        <w:rPr>
          <w:rFonts w:ascii="Times New Roman" w:hAnsi="Times New Roman"/>
          <w:sz w:val="24"/>
        </w:rPr>
      </w:pPr>
      <w:r>
        <w:rPr>
          <w:rFonts w:ascii="Times New Roman" w:hAnsi="Times New Roman"/>
          <w:sz w:val="24"/>
        </w:rPr>
        <w:t>Приморско има 3 участъка с изразени свлачищни процеси. Първият участък обхваща бреговата ивица  на разстояние 300 м по кадастралния план до пристанището. В южната си част залива на брега е висок 20 м, а в северната част е 10м. Самият бряг е изграден от седиментни скали, пясъци, пясъчници, варовици. Брегът е под влиянието на морската абразия като меките метали се размиват а здравите се обрушват под формата на големи блокове.Вторият участък обвхваща северния бряг от ул.Христо Ботев до ул.Васил Левски, на разстояние 130м. Третият участък се намира на североизток от града по склона на морето. Свлачището е с дългообразна форма изпъкнала към сушата. В Малко Търново има няколко свлачища, които периодично се почистват. Царево има свлачища на Централния плаж и Южен бряг, които се наблюдават от “ Геозащита“ Варна.В Поморие има 2 свлачища, които са укрепени.В Несебър има регистрирани 19 свлачища.Има 1 свлачище в Сунгурларе, което е било укрепено, но в момента отново има нужда от проучване. В Созопол има 3 свлачища. Едното в къмпинг Черноморец е възникнало в резултат на морската абразия и битови води от къмпинга. Второто свлачище е укрепено и не е активно. Третото достига до морето.</w:t>
      </w:r>
    </w:p>
    <w:p>
      <w:pPr>
        <w:pStyle w:val="Normal"/>
        <w:spacing w:lineRule="auto" w:line="360" w:before="0" w:after="0"/>
        <w:jc w:val="center"/>
        <w:rPr>
          <w:rFonts w:ascii="Times New Roman" w:hAnsi="Times New Roman"/>
          <w:sz w:val="24"/>
        </w:rPr>
      </w:pPr>
      <w:r>
        <w:rPr>
          <w:rFonts w:ascii="Times New Roman" w:hAnsi="Times New Roman"/>
          <w:sz w:val="24"/>
        </w:rPr>
        <w:t>4</w:t>
      </w:r>
    </w:p>
    <w:p>
      <w:pPr>
        <w:pStyle w:val="Normal"/>
        <w:spacing w:lineRule="auto" w:line="360" w:before="0" w:after="0"/>
        <w:jc w:val="both"/>
        <w:rPr>
          <w:rFonts w:ascii="Times New Roman" w:hAnsi="Times New Roman"/>
          <w:sz w:val="24"/>
        </w:rPr>
      </w:pPr>
      <w:r>
        <w:rPr>
          <w:rFonts w:ascii="Times New Roman" w:hAnsi="Times New Roman"/>
          <w:sz w:val="24"/>
        </w:rPr>
        <w:t>Съществена част от противосвлачищните дейности е мониторингът на свлачищните райони.</w:t>
      </w:r>
      <w:r>
        <w:rPr/>
        <w:t xml:space="preserve"> </w:t>
      </w:r>
      <w:r>
        <w:rPr>
          <w:rFonts w:ascii="Times New Roman" w:hAnsi="Times New Roman"/>
          <w:sz w:val="24"/>
        </w:rPr>
        <w:t xml:space="preserve">Съгласно чл. 95 от Закона за устройството на територията неговото изпълнение е задължително.В Република България, дейностите по регистрирането и мониторинга на свлачищните райони се осъществява от Министерствоно на регионалното развитие. То води публичен регистър на свлачищните райони, а мониторингът се осъществява чрез наблюдение, анализи и оценка на резултатите от инженерно-геоложки, хидрогеоложки и хидроложки проучвания.Мониторингът е елемент на геозащитната дейност при устройственото планиране на териториите.Съществуват 4 вида мониторинг относно свлачищните процеси. </w:t>
      </w:r>
    </w:p>
    <w:p>
      <w:pPr>
        <w:pStyle w:val="Normal"/>
        <w:spacing w:lineRule="auto" w:line="360" w:before="0" w:after="0"/>
        <w:jc w:val="both"/>
        <w:rPr>
          <w:rFonts w:ascii="Times New Roman" w:hAnsi="Times New Roman"/>
          <w:sz w:val="24"/>
        </w:rPr>
      </w:pPr>
      <w:r>
        <w:rPr>
          <w:rFonts w:ascii="Times New Roman" w:hAnsi="Times New Roman"/>
          <w:sz w:val="24"/>
        </w:rPr>
        <w:t>Първият е инженерногеоложки мониторинг, при който се извършва системно наблюдение и анализ на регистрирани активни свлачища и потенциално застрашени участъци.Вторият е хидрогеоложки мониторинг, който  включва преки хидрогеоложки измервания на нивата и анализ на състоянието на подземните води в и около свлачищните тела.Третият мониторинг е геодезически, който включва прецизни геодезически измервания на предварително изградени наблюдателни мрежи с цел установяване на пространствените премествания и оценка на динамичното поведение на съответните участъци.Последният, четвърти мониторинг е инклинометричен, който представлява измервания в дълбочина за деформации и динамика на свлачищните райони.</w:t>
      </w:r>
    </w:p>
    <w:p>
      <w:pPr>
        <w:pStyle w:val="Normal"/>
        <w:spacing w:lineRule="auto" w:line="360" w:before="0" w:after="0"/>
        <w:jc w:val="both"/>
        <w:rPr>
          <w:rFonts w:ascii="Times New Roman" w:hAnsi="Times New Roman"/>
          <w:sz w:val="24"/>
        </w:rPr>
      </w:pPr>
      <w:r>
        <w:rPr>
          <w:rFonts w:ascii="Times New Roman" w:hAnsi="Times New Roman"/>
          <w:sz w:val="24"/>
        </w:rPr>
        <w:t>Конкретно за мониторинг на абразионните процеси може да се каже че класическия метод се базира на геодезично измерване и обработване на данните за получавате на количествени показатели на абразията. Това е уредено съгласно инструкция на БАН от 1976г.Геодезичния метод представлява заснемане на абразионните участъци за отчитане разрушението на бреговия склон. За да бъдат преодолявани свлачищните процеси трябва да има непрекъснат мониторинг и контрол върху абразионните участъци. Те разбира се трябва да бъдат укрепвани до колкото позволяв свлачищния район.</w:t>
      </w:r>
    </w:p>
    <w:p>
      <w:pPr>
        <w:pStyle w:val="Normal"/>
        <w:spacing w:lineRule="auto" w:line="360" w:before="0" w:after="0"/>
        <w:jc w:val="both"/>
        <w:rPr>
          <w:rFonts w:ascii="Times New Roman" w:hAnsi="Times New Roman"/>
          <w:sz w:val="24"/>
        </w:rPr>
      </w:pPr>
      <w:r>
        <w:rPr>
          <w:rFonts w:ascii="Times New Roman" w:hAnsi="Times New Roman"/>
          <w:sz w:val="24"/>
        </w:rPr>
        <w:t>За справяне със свлачищните процеси в област Бургас трябва да се определят  превантивни мерки за предотвратяване или намаляване последиците  от свлачища и срутища.На първо място от съществено значение е да се създаде организация, която да извършва мониторинг над местата на които има свлачищни процеси, било то нови или активизирали се стари.Организацията ще има за задача при необходимост да  установява нанесените щети и при нужда да премества хора от свлачищни райони.</w:t>
      </w:r>
    </w:p>
    <w:p>
      <w:pPr>
        <w:pStyle w:val="Normal"/>
        <w:spacing w:lineRule="auto" w:line="360" w:before="0" w:after="0"/>
        <w:jc w:val="center"/>
        <w:rPr>
          <w:rFonts w:ascii="Times New Roman" w:hAnsi="Times New Roman"/>
          <w:sz w:val="24"/>
        </w:rPr>
      </w:pPr>
      <w:r>
        <w:rPr>
          <w:rFonts w:ascii="Times New Roman" w:hAnsi="Times New Roman"/>
          <w:sz w:val="24"/>
        </w:rPr>
        <w:t>5</w:t>
      </w:r>
    </w:p>
    <w:p>
      <w:pPr>
        <w:pStyle w:val="Normal"/>
        <w:spacing w:lineRule="auto" w:line="360" w:before="0" w:after="0"/>
        <w:jc w:val="both"/>
        <w:rPr>
          <w:rFonts w:ascii="Times New Roman" w:hAnsi="Times New Roman"/>
          <w:sz w:val="24"/>
        </w:rPr>
      </w:pPr>
      <w:r>
        <w:rPr>
          <w:rFonts w:ascii="Times New Roman" w:hAnsi="Times New Roman"/>
          <w:sz w:val="24"/>
        </w:rPr>
        <w:t>Необходимо е изграждане на система за наблюдение, която да може да предупреждава и да оповестява  при активизиране на свлачищните процеси. Информацията трябва да бъде за опасно повишаване или понижаване нивото на подпочвените води в свлачищните райони.Тази система още може да бъде свързана с хидрометеорологичната обсерватория в гр Бургас и да получава информация в реално време а развитието на валежната обстановка. От тази информация може да се правят изводи за вероятно активизиране на уязвимите свлачищни райони.</w:t>
      </w:r>
    </w:p>
    <w:p>
      <w:pPr>
        <w:pStyle w:val="Normal"/>
        <w:spacing w:lineRule="auto" w:line="360" w:before="0" w:after="0"/>
        <w:jc w:val="both"/>
        <w:rPr>
          <w:rFonts w:ascii="Times New Roman" w:hAnsi="Times New Roman"/>
          <w:sz w:val="24"/>
        </w:rPr>
      </w:pPr>
      <w:r>
        <w:rPr>
          <w:rFonts w:ascii="Times New Roman" w:hAnsi="Times New Roman"/>
          <w:sz w:val="24"/>
        </w:rPr>
        <w:t>Създаден е план за действия при свлачища и срутища в област Бургас, който план цели създаване на необходимата организация за предприемане на мерки за защита   на живота и здравето на хората и за реагиране при активизиране на свлачища и срутища.Този план е предвидил три типа мероприятия според характера и въздействието върху свлачищните процеси.Първият тип са превантивните мероприятия, които трябва да се провеждат в цялата водосборна област.Тези мероприятия са хидроложко и хидротехническо саниране на водосбора.Хидроложкото саниране включва в себе си проверка, почистване, възстановяване и коригиране на естествената дренажна мрежа, а хидротехническото включва всички допълнителни хидротехнически съоражения.Следващият тип мероприятия са оперативните. Те трябва да се провеждат в зоната на свлачищния наклон  и трябва да служат за устойчивост на терена.Последният тип мероприятия са експлоатационните, които осигуряват нормалното функциониране на изградените съоражения и не допускат влошаване на почвите и общата устойчивост на терена.</w:t>
      </w:r>
    </w:p>
    <w:p>
      <w:pPr>
        <w:pStyle w:val="Normal"/>
        <w:spacing w:lineRule="auto" w:line="360" w:before="0" w:after="0"/>
        <w:jc w:val="both"/>
        <w:rPr>
          <w:rFonts w:ascii="Times New Roman" w:hAnsi="Times New Roman"/>
          <w:sz w:val="24"/>
          <w:lang w:val="en-US"/>
        </w:rPr>
      </w:pPr>
      <w:r>
        <w:rPr>
          <w:rFonts w:ascii="Times New Roman" w:hAnsi="Times New Roman"/>
          <w:sz w:val="24"/>
        </w:rPr>
        <w:t>Финансирането на тези дейности може да бъде няколко вида – от държавния бюджет, бюджет на областен управител, общински бюджети, бюджети на юридически лица и други източници като спонсорство и дарения.</w:t>
      </w:r>
    </w:p>
    <w:p>
      <w:pPr>
        <w:pStyle w:val="Normal"/>
        <w:spacing w:lineRule="auto" w:line="360" w:before="0" w:after="0"/>
        <w:jc w:val="both"/>
        <w:rPr>
          <w:rFonts w:ascii="Times New Roman" w:hAnsi="Times New Roman"/>
          <w:sz w:val="24"/>
        </w:rPr>
      </w:pPr>
      <w:r>
        <w:rPr>
          <w:rFonts w:ascii="Times New Roman" w:hAnsi="Times New Roman"/>
          <w:sz w:val="24"/>
        </w:rPr>
        <w:t xml:space="preserve">За заключение може да се каже че свличанията на земни маси по склоновете на пътни участъци , активизирани в следствие на продължителни валежи или снеготопене, могат да предизвикат ограничаване на движението или затваряне на важни пътни участъци от пътищата на Република България. Важна роля за предотвратяване на такива инциденти играе държавата, която е отговорна за укрепването на такива райони. Свличанията на морския бряг, предизвикани от нивото на подземните води и абразията, могат да причинят превръщането на големи площи от земи и обработваеми такива в пустеещи.Свлачищата по морския бряг застрашават жилищни простройки, могат да причинят щети на електроповодната мрежа както и на цялата налична инфраструктурна </w:t>
      </w:r>
    </w:p>
    <w:p>
      <w:pPr>
        <w:pStyle w:val="Normal"/>
        <w:spacing w:lineRule="auto" w:line="360" w:before="0" w:after="0"/>
        <w:jc w:val="center"/>
        <w:rPr>
          <w:rFonts w:ascii="Times New Roman" w:hAnsi="Times New Roman"/>
          <w:sz w:val="24"/>
        </w:rPr>
      </w:pPr>
      <w:r>
        <w:rPr>
          <w:rFonts w:ascii="Times New Roman" w:hAnsi="Times New Roman"/>
          <w:sz w:val="24"/>
        </w:rPr>
        <w:t>6</w:t>
      </w:r>
    </w:p>
    <w:p>
      <w:pPr>
        <w:pStyle w:val="Normal"/>
        <w:spacing w:lineRule="auto" w:line="360" w:before="0" w:after="0"/>
        <w:jc w:val="both"/>
        <w:rPr>
          <w:rFonts w:ascii="Times New Roman" w:hAnsi="Times New Roman"/>
          <w:sz w:val="24"/>
        </w:rPr>
      </w:pPr>
      <w:r>
        <w:rPr>
          <w:rFonts w:ascii="Times New Roman" w:hAnsi="Times New Roman"/>
          <w:sz w:val="24"/>
        </w:rPr>
        <w:t>мрежа в свлачищния район.Абразията, която е фактор за възникване на свлачишни явления по крайбрежието, предизвиква загуба на територия на страната. Изградените противосвлачищни съоръжения не се поддържат и не се стопанисват добре, което намалява тяхната ефективност и скъсява дълготрайността им. Необходимо е да се направи цялостен анализ на състоянието на противоабразионните съоражения по протежението на цялата брегова ивица на страната и да се набележат места за укрепване, поддръжка и мониторинг.</w:t>
      </w:r>
    </w:p>
    <w:p>
      <w:pPr>
        <w:pStyle w:val="Normal"/>
        <w:spacing w:lineRule="auto" w:line="360" w:before="0" w:after="0"/>
        <w:jc w:val="both"/>
        <w:rPr>
          <w:rFonts w:ascii="Times New Roman" w:hAnsi="Times New Roman"/>
          <w:sz w:val="24"/>
          <w:lang w:val="en-US"/>
        </w:rPr>
      </w:pPr>
      <w:r>
        <w:rPr>
          <w:rFonts w:ascii="Times New Roman" w:hAnsi="Times New Roman"/>
          <w:sz w:val="24"/>
          <w:lang w:val="en-US"/>
        </w:rPr>
      </w:r>
    </w:p>
    <w:p>
      <w:pPr>
        <w:pStyle w:val="Normal"/>
        <w:spacing w:lineRule="auto" w:line="360" w:before="0" w:after="0"/>
        <w:jc w:val="both"/>
        <w:rPr>
          <w:rFonts w:ascii="Times New Roman" w:hAnsi="Times New Roman"/>
          <w:sz w:val="24"/>
          <w:lang w:val="en-US"/>
        </w:rPr>
      </w:pPr>
      <w:r>
        <w:rPr>
          <w:rFonts w:ascii="Times New Roman" w:hAnsi="Times New Roman"/>
          <w:sz w:val="24"/>
          <w:lang w:val="en-US"/>
        </w:rPr>
      </w:r>
    </w:p>
    <w:p>
      <w:pPr>
        <w:pStyle w:val="Normal"/>
        <w:spacing w:lineRule="auto" w:line="360" w:before="0" w:after="0"/>
        <w:jc w:val="both"/>
        <w:rPr>
          <w:rFonts w:ascii="Times New Roman" w:hAnsi="Times New Roman"/>
          <w:sz w:val="24"/>
          <w:lang w:val="en-US"/>
        </w:rPr>
      </w:pPr>
      <w:r>
        <w:rPr>
          <w:rFonts w:ascii="Times New Roman" w:hAnsi="Times New Roman"/>
          <w:sz w:val="24"/>
          <w:lang w:val="en-US"/>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lang w:val="en-US"/>
        </w:rPr>
      </w:pPr>
      <w:r>
        <w:rPr>
          <w:rFonts w:ascii="Times New Roman" w:hAnsi="Times New Roman"/>
          <w:sz w:val="24"/>
          <w:lang w:val="en-US"/>
        </w:rPr>
      </w:r>
    </w:p>
    <w:p>
      <w:pPr>
        <w:pStyle w:val="Normal"/>
        <w:spacing w:lineRule="auto" w:line="360" w:before="0" w:after="0"/>
        <w:jc w:val="both"/>
        <w:rPr>
          <w:rFonts w:ascii="Times New Roman" w:hAnsi="Times New Roman"/>
          <w:sz w:val="24"/>
          <w:lang w:val="en-US"/>
        </w:rPr>
      </w:pPr>
      <w:r>
        <w:rPr>
          <w:rFonts w:ascii="Times New Roman" w:hAnsi="Times New Roman"/>
          <w:sz w:val="24"/>
          <w:lang w:val="en-US"/>
        </w:rPr>
      </w:r>
    </w:p>
    <w:p>
      <w:pPr>
        <w:pStyle w:val="Normal"/>
        <w:spacing w:lineRule="auto" w:line="360" w:before="0" w:after="0"/>
        <w:jc w:val="center"/>
        <w:rPr>
          <w:rFonts w:ascii="Times New Roman" w:hAnsi="Times New Roman"/>
          <w:sz w:val="24"/>
        </w:rPr>
      </w:pPr>
      <w:r>
        <w:rPr>
          <w:rFonts w:ascii="Times New Roman" w:hAnsi="Times New Roman"/>
          <w:sz w:val="24"/>
        </w:rPr>
        <w:t>7</w:t>
      </w:r>
    </w:p>
    <w:p>
      <w:pPr>
        <w:pStyle w:val="Normal"/>
        <w:spacing w:lineRule="auto" w:line="360" w:before="0" w:after="0"/>
        <w:jc w:val="both"/>
        <w:rPr>
          <w:rFonts w:ascii="Times New Roman" w:hAnsi="Times New Roman"/>
          <w:sz w:val="28"/>
        </w:rPr>
      </w:pPr>
      <w:r>
        <w:rPr>
          <w:rFonts w:ascii="Times New Roman" w:hAnsi="Times New Roman"/>
          <w:sz w:val="28"/>
        </w:rPr>
        <w:t>Източници:</w:t>
      </w:r>
    </w:p>
    <w:p>
      <w:pPr>
        <w:pStyle w:val="Normal"/>
        <w:spacing w:lineRule="auto" w:line="360" w:before="0" w:after="0"/>
        <w:jc w:val="both"/>
        <w:rPr>
          <w:rFonts w:ascii="Times New Roman" w:hAnsi="Times New Roman"/>
          <w:sz w:val="24"/>
        </w:rPr>
      </w:pPr>
      <w:r>
        <w:rPr>
          <w:rFonts w:ascii="Times New Roman" w:hAnsi="Times New Roman"/>
          <w:sz w:val="24"/>
        </w:rPr>
        <w:t>1.Национална програма за превенция и ограничаване на свлачищата на територията на Република България, ерозията и абразията по Дунавското и Черноморското крайбрежие 2015-2020.</w:t>
      </w:r>
    </w:p>
    <w:p>
      <w:pPr>
        <w:pStyle w:val="Normal"/>
        <w:spacing w:lineRule="auto" w:line="360" w:before="0" w:after="0"/>
        <w:jc w:val="both"/>
        <w:rPr>
          <w:rFonts w:ascii="Times New Roman" w:hAnsi="Times New Roman"/>
          <w:sz w:val="24"/>
        </w:rPr>
      </w:pPr>
      <w:r>
        <w:rPr>
          <w:rFonts w:ascii="Times New Roman" w:hAnsi="Times New Roman"/>
          <w:sz w:val="24"/>
        </w:rPr>
        <w:t>2.Национална програма за защита при бедствия 2014-2018г.</w:t>
      </w:r>
    </w:p>
    <w:p>
      <w:pPr>
        <w:pStyle w:val="Normal"/>
        <w:spacing w:lineRule="auto" w:line="360" w:before="0" w:after="0"/>
        <w:jc w:val="both"/>
        <w:rPr>
          <w:rFonts w:ascii="Times New Roman" w:hAnsi="Times New Roman"/>
          <w:sz w:val="24"/>
        </w:rPr>
      </w:pPr>
      <w:r>
        <w:rPr>
          <w:rFonts w:ascii="Times New Roman" w:hAnsi="Times New Roman"/>
          <w:sz w:val="24"/>
        </w:rPr>
        <w:t>3.Закон за защита при бедствия.</w:t>
      </w:r>
    </w:p>
    <w:p>
      <w:pPr>
        <w:pStyle w:val="Normal"/>
        <w:spacing w:lineRule="auto" w:line="360" w:before="0" w:after="0"/>
        <w:jc w:val="both"/>
        <w:rPr>
          <w:rFonts w:ascii="Times New Roman" w:hAnsi="Times New Roman"/>
          <w:sz w:val="24"/>
        </w:rPr>
      </w:pPr>
      <w:r>
        <w:rPr>
          <w:rFonts w:ascii="Times New Roman" w:hAnsi="Times New Roman"/>
          <w:sz w:val="24"/>
        </w:rPr>
        <w:t>4.Областен план за защита  при бедствия, Бургас, 2012г.</w:t>
      </w:r>
    </w:p>
    <w:p>
      <w:pPr>
        <w:pStyle w:val="Normal"/>
        <w:spacing w:lineRule="auto" w:line="360" w:before="0" w:after="0"/>
        <w:jc w:val="both"/>
        <w:rPr>
          <w:rFonts w:ascii="Times New Roman" w:hAnsi="Times New Roman"/>
          <w:sz w:val="24"/>
        </w:rPr>
      </w:pPr>
      <w:r>
        <w:rPr>
          <w:rFonts w:ascii="Times New Roman" w:hAnsi="Times New Roman"/>
          <w:sz w:val="24"/>
        </w:rPr>
        <w:t>5.Методика за оценка на геоложкия риск, декември, 2014г.</w:t>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both"/>
        <w:rPr>
          <w:rFonts w:ascii="Times New Roman" w:hAnsi="Times New Roman"/>
          <w:sz w:val="24"/>
        </w:rPr>
      </w:pPr>
      <w:r>
        <w:rPr>
          <w:rFonts w:ascii="Times New Roman" w:hAnsi="Times New Roman"/>
          <w:sz w:val="24"/>
        </w:rPr>
      </w:r>
    </w:p>
    <w:p>
      <w:pPr>
        <w:pStyle w:val="Normal"/>
        <w:spacing w:lineRule="auto" w:line="360" w:before="0" w:after="0"/>
        <w:jc w:val="center"/>
        <w:rPr/>
      </w:pPr>
      <w:r>
        <w:rPr>
          <w:rFonts w:ascii="Times New Roman" w:hAnsi="Times New Roman"/>
          <w:sz w:val="24"/>
        </w:rPr>
        <w:t>8</w:t>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b6f4d"/>
    <w:pPr>
      <w:widowControl/>
      <w:bidi w:val="0"/>
      <w:spacing w:lineRule="auto" w:line="276" w:before="0" w:after="200"/>
      <w:jc w:val="left"/>
    </w:pPr>
    <w:rPr>
      <w:rFonts w:ascii="Calibri" w:hAnsi="Calibri" w:eastAsia="Calibri" w:cs="Times New Roman" w:asciiTheme="minorHAns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2b6f4d"/>
    <w:rPr>
      <w:rFonts w:ascii="Tahoma" w:hAnsi="Tahoma" w:eastAsia="Calibri" w:cs="Tahoma"/>
      <w:sz w:val="16"/>
      <w:szCs w:val="16"/>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BalloonText">
    <w:name w:val="Balloon Text"/>
    <w:basedOn w:val="Normal"/>
    <w:link w:val="BalloonTextChar"/>
    <w:uiPriority w:val="99"/>
    <w:semiHidden/>
    <w:unhideWhenUsed/>
    <w:qFormat/>
    <w:rsid w:val="002b6f4d"/>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2" Target="media/image1.jpeg" Type="http://schemas.openxmlformats.org/officeDocument/2006/relationships/image"/><Relationship Id="rId3" Target="fontTable.xml" Type="http://schemas.openxmlformats.org/officeDocument/2006/relationships/fontTable"/><Relationship Id="rId4" Target="settings.xml" Type="http://schemas.openxmlformats.org/officeDocument/2006/relationships/settings"/><Relationship Id="rId5" Target="theme/theme1.xml" Type="http://schemas.openxmlformats.org/officeDocument/2006/relationships/theme"/><Relationship Id="rId6" Target="../customXml/item1.xml" Type="http://schemas.openxmlformats.org/officeDocument/2006/relationships/custom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EB69E-4EDB-43D3-B322-CD8C0704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Application>LibreOffice/6.1.3.2$Linux_X86_64 LibreOffice_project/10$Build-2</Application>
  <Pages>10</Pages>
  <Words>2097</Words>
  <Characters>13507</Characters>
  <CharactersWithSpaces>15666</CharactersWithSpaces>
  <Paragraphs>65</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2018-03-19T12:10:00Z</dcterms:created>
  <dc:creator>Teodora</dc:creator>
  <dc:description/>
  <dc:language>en-US</dc:language>
  <cp:lastModifiedBy/>
  <dcterms:modified xsi:type="dcterms:W3CDTF">2018-11-25T19:53:19Z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AppVersion" pid="2">
    <vt:lpwstr>14.0000</vt:lpwstr>
  </property>
  <property fmtid="{D5CDD505-2E9C-101B-9397-08002B2CF9AE}" name="Company" pid="3">
    <vt:lpwstr>Hewlett-Packard</vt:lpwstr>
  </property>
  <property fmtid="{D5CDD505-2E9C-101B-9397-08002B2CF9AE}" name="DocSecurity" pid="4">
    <vt:i4>0</vt:i4>
  </property>
  <property fmtid="{D5CDD505-2E9C-101B-9397-08002B2CF9AE}" name="HyperlinksChanged" pid="5">
    <vt:bool>0</vt:bool>
  </property>
  <property fmtid="{D5CDD505-2E9C-101B-9397-08002B2CF9AE}" name="LinksUpToDate" pid="6">
    <vt:bool>0</vt:bool>
  </property>
  <property fmtid="{D5CDD505-2E9C-101B-9397-08002B2CF9AE}" name="NXPowerLiteLastOptimized" pid="7">
    <vt:lpwstr>35862</vt:lpwstr>
  </property>
  <property fmtid="{D5CDD505-2E9C-101B-9397-08002B2CF9AE}" name="NXPowerLiteSettings" pid="8">
    <vt:lpwstr>F7000400038000</vt:lpwstr>
  </property>
  <property fmtid="{D5CDD505-2E9C-101B-9397-08002B2CF9AE}" name="NXPowerLiteVersion" pid="9">
    <vt:lpwstr>D6.2.10</vt:lpwstr>
  </property>
  <property fmtid="{D5CDD505-2E9C-101B-9397-08002B2CF9AE}" name="ScaleCrop" pid="10">
    <vt:bool>0</vt:bool>
  </property>
  <property fmtid="{D5CDD505-2E9C-101B-9397-08002B2CF9AE}" name="ShareDoc" pid="11">
    <vt:bool>0</vt:bool>
  </property>
</Properties>
</file>